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5E06A07B" w:rsidR="00CA33D0" w:rsidRPr="0083781C" w:rsidRDefault="00FD1C8C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</w:pPr>
      <w:r w:rsidRPr="0083781C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  <w:lang w:val="fr-FR"/>
        </w:rPr>
        <w:t>Services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546506AD" w:rsidR="00CA33D0" w:rsidRPr="00303FEA" w:rsidRDefault="009E59D3" w:rsidP="0083781C">
      <w:pPr>
        <w:pStyle w:val="Corpsdetexte"/>
        <w:shd w:val="clear" w:color="auto" w:fill="548DD4" w:themeFill="text2" w:themeFillTint="99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="0083781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B</w:t>
      </w:r>
    </w:p>
    <w:p w14:paraId="0A5F08D5" w14:textId="520D557E" w:rsidR="00CA33D0" w:rsidRPr="00D0173A" w:rsidRDefault="0083781C" w:rsidP="0083781C">
      <w:pPr>
        <w:pStyle w:val="Corpsdetexte"/>
        <w:shd w:val="clear" w:color="auto" w:fill="548DD4" w:themeFill="text2" w:themeFillTint="99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PETITS </w:t>
      </w:r>
      <w:r w:rsidR="00171E00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ORGANISMES DE </w:t>
      </w:r>
      <w:r w:rsidR="00FD1C8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SERVICE AUX ARTS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5FA6B428" w:rsidR="00CA33D0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</w:pP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FORMULAIRE DE DEMANDE PLURIANNUELLE 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– PART</w:t>
      </w: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IE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S</w:t>
      </w:r>
      <w:r w:rsidR="000609FE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 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2 </w:t>
      </w:r>
      <w:r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 xml:space="preserve">À </w:t>
      </w:r>
      <w:r w:rsidR="00CA33D0" w:rsidRPr="00FD1C8C">
        <w:rPr>
          <w:rFonts w:asciiTheme="minorHAnsi" w:hAnsiTheme="minorHAnsi"/>
          <w:b/>
          <w:bCs/>
          <w:color w:val="244061" w:themeColor="accent1" w:themeShade="80"/>
          <w:sz w:val="36"/>
          <w:szCs w:val="36"/>
          <w:lang w:val="fr-FR"/>
        </w:rPr>
        <w:t>4</w:t>
      </w:r>
    </w:p>
    <w:p w14:paraId="195A4E35" w14:textId="75CFAC49" w:rsidR="0083781C" w:rsidRPr="00CC1123" w:rsidRDefault="0083781C" w:rsidP="0083781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123">
        <w:rPr>
          <w:rFonts w:asciiTheme="minorHAnsi" w:hAnsiTheme="minorHAnsi" w:cstheme="minorHAnsi"/>
          <w:b/>
          <w:bCs/>
          <w:color w:val="auto"/>
          <w:sz w:val="28"/>
          <w:szCs w:val="28"/>
        </w:rPr>
        <w:t>Catégorie B – maximum : 25 000$</w:t>
      </w:r>
    </w:p>
    <w:p w14:paraId="0B96C945" w14:textId="026E3CEF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CC1123" w:rsidRPr="008E3870">
        <w:rPr>
          <w:rFonts w:asciiTheme="minorHAnsi" w:hAnsiTheme="minorHAnsi"/>
          <w:b/>
          <w:bCs/>
          <w:color w:val="FF0000"/>
          <w:sz w:val="28"/>
          <w:szCs w:val="28"/>
        </w:rPr>
        <w:t>7 mars</w:t>
      </w:r>
      <w:r w:rsidRPr="008E3870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="00D15A09" w:rsidRPr="008E3870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83781C">
      <w:pPr>
        <w:pStyle w:val="Default"/>
        <w:shd w:val="clear" w:color="auto" w:fill="548DD4" w:themeFill="text2" w:themeFillTint="99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1415D247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FD1C8C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Service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-</w:t>
      </w:r>
      <w:r w:rsidR="003709E7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B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décrire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83781C">
      <w:pPr>
        <w:pStyle w:val="Default"/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7A3A13A1" w:rsidR="00CA33D0" w:rsidRPr="00D0173A" w:rsidRDefault="00EC79EE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>Core</w:t>
      </w:r>
      <w:r w:rsidR="00FD1C8C">
        <w:rPr>
          <w:rFonts w:asciiTheme="minorHAnsi" w:hAnsiTheme="minorHAnsi"/>
          <w:b/>
          <w:bCs/>
          <w:iCs/>
          <w:color w:val="FF0000"/>
          <w:lang w:val="fr-FR"/>
        </w:rPr>
        <w:t>Service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-</w:t>
      </w:r>
      <w:r w:rsidR="003709E7">
        <w:rPr>
          <w:rFonts w:asciiTheme="minorHAnsi" w:hAnsiTheme="minorHAnsi"/>
          <w:b/>
          <w:bCs/>
          <w:iCs/>
          <w:color w:val="FF0000"/>
          <w:lang w:val="fr-FR"/>
        </w:rPr>
        <w:t>B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.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3 </w:t>
      </w: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83781C" w:rsidRDefault="008E4144" w:rsidP="0083781C">
      <w:pPr>
        <w:jc w:val="center"/>
      </w:pPr>
    </w:p>
    <w:p w14:paraId="79A5BCDC" w14:textId="183F8D19" w:rsidR="00CA33D0" w:rsidRPr="0083781C" w:rsidRDefault="003164BE" w:rsidP="0083781C">
      <w:pPr>
        <w:shd w:val="clear" w:color="auto" w:fill="548DD4" w:themeFill="text2" w:themeFillTint="99"/>
        <w:jc w:val="center"/>
        <w:rPr>
          <w:color w:val="FFFFFF" w:themeColor="background1"/>
          <w:sz w:val="28"/>
          <w:szCs w:val="28"/>
        </w:rPr>
      </w:pPr>
      <w:r w:rsidRPr="0083781C">
        <w:rPr>
          <w:color w:val="FFFFFF" w:themeColor="background1"/>
          <w:sz w:val="28"/>
          <w:szCs w:val="28"/>
        </w:rPr>
        <w:t xml:space="preserve">Le nombre de pages au total pour la Partie 3 : Description des activités </w:t>
      </w:r>
      <w:r w:rsidR="004C6669" w:rsidRPr="0083781C">
        <w:rPr>
          <w:color w:val="FFFFFF" w:themeColor="background1"/>
          <w:sz w:val="28"/>
          <w:szCs w:val="28"/>
        </w:rPr>
        <w:t xml:space="preserve">doit être d’un </w:t>
      </w:r>
      <w:r w:rsidR="004C6669" w:rsidRPr="0083781C">
        <w:rPr>
          <w:b/>
          <w:bCs/>
          <w:color w:val="FFFFFF" w:themeColor="background1"/>
          <w:sz w:val="28"/>
          <w:szCs w:val="28"/>
        </w:rPr>
        <w:t xml:space="preserve">maximum de </w:t>
      </w:r>
      <w:r w:rsidRPr="0083781C">
        <w:rPr>
          <w:b/>
          <w:bCs/>
          <w:color w:val="FFFFFF" w:themeColor="background1"/>
          <w:sz w:val="28"/>
          <w:szCs w:val="28"/>
        </w:rPr>
        <w:t>huit en utilisant</w:t>
      </w:r>
      <w:r w:rsidR="00CA33D0" w:rsidRPr="0083781C">
        <w:rPr>
          <w:b/>
          <w:bCs/>
          <w:color w:val="FFFFFF" w:themeColor="background1"/>
          <w:sz w:val="28"/>
          <w:szCs w:val="28"/>
        </w:rPr>
        <w:t xml:space="preserve"> </w:t>
      </w:r>
      <w:r w:rsidRPr="0083781C">
        <w:rPr>
          <w:b/>
          <w:bCs/>
          <w:color w:val="FFFFFF" w:themeColor="background1"/>
          <w:sz w:val="28"/>
          <w:szCs w:val="28"/>
        </w:rPr>
        <w:t>la police</w:t>
      </w:r>
      <w:r w:rsidR="00CA33D0" w:rsidRPr="0083781C">
        <w:rPr>
          <w:b/>
          <w:bCs/>
          <w:color w:val="FFFFFF" w:themeColor="background1"/>
          <w:sz w:val="28"/>
          <w:szCs w:val="28"/>
        </w:rPr>
        <w:t xml:space="preserve"> Arial </w:t>
      </w:r>
      <w:r w:rsidRPr="0083781C">
        <w:rPr>
          <w:b/>
          <w:bCs/>
          <w:color w:val="FFFFFF" w:themeColor="background1"/>
          <w:sz w:val="28"/>
          <w:szCs w:val="28"/>
        </w:rPr>
        <w:t xml:space="preserve">en </w:t>
      </w:r>
      <w:r w:rsidR="00CA33D0" w:rsidRPr="0083781C">
        <w:rPr>
          <w:b/>
          <w:bCs/>
          <w:color w:val="FFFFFF" w:themeColor="background1"/>
          <w:sz w:val="28"/>
          <w:szCs w:val="28"/>
        </w:rPr>
        <w:t>11</w:t>
      </w:r>
      <w:r w:rsidRPr="0083781C">
        <w:rPr>
          <w:b/>
          <w:bCs/>
          <w:color w:val="FFFFFF" w:themeColor="background1"/>
          <w:sz w:val="28"/>
          <w:szCs w:val="28"/>
        </w:rPr>
        <w:t xml:space="preserve"> </w:t>
      </w:r>
      <w:r w:rsidR="00CA33D0" w:rsidRPr="0083781C">
        <w:rPr>
          <w:b/>
          <w:bCs/>
          <w:color w:val="FFFFFF" w:themeColor="background1"/>
          <w:sz w:val="28"/>
          <w:szCs w:val="28"/>
        </w:rPr>
        <w:t>point</w:t>
      </w:r>
      <w:r w:rsidRPr="0083781C">
        <w:rPr>
          <w:b/>
          <w:bCs/>
          <w:color w:val="FFFFFF" w:themeColor="background1"/>
          <w:sz w:val="28"/>
          <w:szCs w:val="28"/>
        </w:rPr>
        <w:t>s et des marges de 0,75 po</w:t>
      </w:r>
      <w:r w:rsidR="00CA33D0" w:rsidRPr="0083781C">
        <w:rPr>
          <w:b/>
          <w:bCs/>
          <w:color w:val="FFFFFF" w:themeColor="background1"/>
          <w:sz w:val="28"/>
          <w:szCs w:val="28"/>
        </w:rPr>
        <w:t>.</w:t>
      </w:r>
    </w:p>
    <w:p w14:paraId="32F83A6E" w14:textId="71918D6D" w:rsidR="00CA33D0" w:rsidRPr="0083781C" w:rsidRDefault="003164BE" w:rsidP="0083781C">
      <w:pPr>
        <w:shd w:val="clear" w:color="auto" w:fill="548DD4" w:themeFill="text2" w:themeFillTint="99"/>
        <w:jc w:val="center"/>
        <w:rPr>
          <w:color w:val="FFFFFF" w:themeColor="background1"/>
          <w:sz w:val="28"/>
          <w:szCs w:val="28"/>
        </w:rPr>
      </w:pPr>
      <w:r w:rsidRPr="0083781C">
        <w:rPr>
          <w:color w:val="FFFFFF" w:themeColor="background1"/>
          <w:sz w:val="28"/>
          <w:szCs w:val="28"/>
        </w:rPr>
        <w:t xml:space="preserve">Les jurés </w:t>
      </w:r>
      <w:r w:rsidRPr="0083781C">
        <w:rPr>
          <w:b/>
          <w:bCs/>
          <w:color w:val="FFFFFF" w:themeColor="background1"/>
          <w:sz w:val="28"/>
          <w:szCs w:val="28"/>
        </w:rPr>
        <w:t>ne liront pas</w:t>
      </w:r>
      <w:r w:rsidRPr="0083781C">
        <w:rPr>
          <w:color w:val="FFFFFF" w:themeColor="background1"/>
          <w:sz w:val="28"/>
          <w:szCs w:val="28"/>
        </w:rPr>
        <w:t xml:space="preserve"> </w:t>
      </w:r>
      <w:r w:rsidR="006F6791" w:rsidRPr="0083781C">
        <w:rPr>
          <w:color w:val="FFFFFF" w:themeColor="background1"/>
          <w:sz w:val="28"/>
          <w:szCs w:val="28"/>
        </w:rPr>
        <w:t xml:space="preserve">plus </w:t>
      </w:r>
      <w:r w:rsidRPr="0083781C">
        <w:rPr>
          <w:color w:val="FFFFFF" w:themeColor="background1"/>
          <w:sz w:val="28"/>
          <w:szCs w:val="28"/>
        </w:rPr>
        <w:t xml:space="preserve">de </w:t>
      </w:r>
      <w:r w:rsidR="0083781C">
        <w:rPr>
          <w:color w:val="FFFFFF" w:themeColor="background1"/>
          <w:sz w:val="28"/>
          <w:szCs w:val="28"/>
        </w:rPr>
        <w:t xml:space="preserve">cinq </w:t>
      </w:r>
      <w:r w:rsidRPr="0083781C">
        <w:rPr>
          <w:color w:val="FFFFFF" w:themeColor="background1"/>
          <w:sz w:val="28"/>
          <w:szCs w:val="28"/>
        </w:rPr>
        <w:t>pages</w:t>
      </w:r>
      <w:r w:rsidR="00CA33D0" w:rsidRPr="0083781C">
        <w:rPr>
          <w:color w:val="FFFFFF" w:themeColor="background1"/>
          <w:sz w:val="28"/>
          <w:szCs w:val="28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 xml:space="preserve">Veuillez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lastRenderedPageBreak/>
        <w:t>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4F7FAF4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0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s </w:t>
      </w:r>
      <w:r w:rsidR="0083781C">
        <w:rPr>
          <w:rFonts w:asciiTheme="minorHAnsi" w:hAnsiTheme="minorHAnsi"/>
          <w:b/>
          <w:color w:val="auto"/>
          <w:sz w:val="22"/>
          <w:szCs w:val="22"/>
        </w:rPr>
        <w:t>(quatre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 xml:space="preserve"> 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0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360BFCD8" w14:textId="77777777" w:rsidR="001D22F3" w:rsidRPr="008A0CA4" w:rsidRDefault="001D22F3" w:rsidP="001D22F3">
      <w:pPr>
        <w:pStyle w:val="Default"/>
        <w:numPr>
          <w:ilvl w:val="0"/>
          <w:numId w:val="30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1" w:name="_Hlk85017608"/>
      <w:bookmarkStart w:id="2" w:name="_Hlk85016997"/>
      <w:r w:rsidRPr="006544CC">
        <w:rPr>
          <w:rFonts w:asciiTheme="minorHAnsi" w:hAnsiTheme="minorHAnsi"/>
          <w:b/>
          <w:bCs/>
          <w:color w:val="auto"/>
          <w:sz w:val="22"/>
          <w:szCs w:val="22"/>
        </w:rPr>
        <w:t xml:space="preserve">Qualité des services : </w:t>
      </w:r>
      <w:r w:rsidRPr="006544CC">
        <w:rPr>
          <w:rFonts w:asciiTheme="minorHAnsi" w:hAnsiTheme="minorHAnsi"/>
          <w:bCs/>
          <w:i/>
          <w:color w:val="auto"/>
          <w:sz w:val="22"/>
          <w:szCs w:val="22"/>
        </w:rPr>
        <w:t>Décrivez comment votre organisme soutient les artistes professionnels et les organismes artistiques, y compris :</w:t>
      </w:r>
      <w:r w:rsidRPr="008A0CA4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04EFA870" w14:textId="77777777" w:rsidR="001D22F3" w:rsidRPr="008A0CA4" w:rsidRDefault="001D22F3" w:rsidP="001D22F3">
      <w:pPr>
        <w:pStyle w:val="Default"/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91D8C7A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activités pour l’année en cours et les années à venir, en soulignant les activités et événements marquants;</w:t>
      </w:r>
    </w:p>
    <w:p w14:paraId="7DA32292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services qui soutiennent les artistes ou les arts;</w:t>
      </w:r>
      <w:r w:rsidRPr="008A0C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723DC9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forces ou</w:t>
      </w:r>
      <w:r w:rsidRPr="006544CC">
        <w:rPr>
          <w:color w:val="auto"/>
        </w:rPr>
        <w:t xml:space="preserve"> </w:t>
      </w:r>
      <w:r w:rsidRPr="006544CC">
        <w:rPr>
          <w:rFonts w:asciiTheme="minorHAnsi" w:hAnsiTheme="minorHAnsi"/>
          <w:bCs/>
          <w:color w:val="auto"/>
          <w:sz w:val="22"/>
          <w:szCs w:val="22"/>
        </w:rPr>
        <w:t>défis actuels en ce qui concerne la qualité des services offerts;</w:t>
      </w:r>
    </w:p>
    <w:p w14:paraId="17B946E0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partenariats stratégiques établis pour réaliser des objectifs;</w:t>
      </w:r>
    </w:p>
    <w:p w14:paraId="39E0C6C8" w14:textId="77777777" w:rsidR="001D22F3" w:rsidRPr="008A0CA4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les améliorations apportées aux conditions des artistes dans le secteur (p. ex. défendre les intérêts des artistes et aider la collectivité à comprendre le rôle des artistes et des arts);</w:t>
      </w:r>
    </w:p>
    <w:p w14:paraId="7F36C477" w14:textId="0444AC3E" w:rsidR="001D22F3" w:rsidRPr="001D22F3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la capacité d’adapter ou de réorienter les programmes face à des défis sans précédent, comme la COVID-19.</w:t>
      </w:r>
    </w:p>
    <w:p w14:paraId="59907B92" w14:textId="77777777" w:rsidR="001D22F3" w:rsidRPr="008A0CA4" w:rsidRDefault="001D22F3" w:rsidP="001D22F3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bookmarkEnd w:id="1"/>
    <w:bookmarkEnd w:id="2"/>
    <w:p w14:paraId="63E9A1F7" w14:textId="77777777" w:rsidR="001D22F3" w:rsidRPr="008A0CA4" w:rsidRDefault="001D22F3" w:rsidP="001D22F3">
      <w:pPr>
        <w:pStyle w:val="Default"/>
        <w:numPr>
          <w:ilvl w:val="0"/>
          <w:numId w:val="30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6544CC">
        <w:rPr>
          <w:rFonts w:asciiTheme="minorHAnsi" w:hAnsiTheme="minorHAnsi" w:cstheme="minorHAnsi"/>
          <w:b/>
          <w:bCs/>
          <w:color w:val="auto"/>
          <w:sz w:val="22"/>
          <w:szCs w:val="22"/>
        </w:rPr>
        <w:t>Développement de l’effectif </w:t>
      </w: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Pr="006544CC">
        <w:rPr>
          <w:rFonts w:asciiTheme="minorHAnsi" w:hAnsiTheme="minorHAnsi" w:cstheme="minorHAnsi"/>
          <w:bCs/>
          <w:i/>
          <w:color w:val="auto"/>
          <w:sz w:val="22"/>
          <w:szCs w:val="22"/>
        </w:rPr>
        <w:t>Décrivez comment votre organisme développe, maintient et gère l’effectif, y compris :</w:t>
      </w:r>
      <w:r w:rsidRPr="008A0CA4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</w:p>
    <w:p w14:paraId="14F76104" w14:textId="77777777" w:rsidR="001D22F3" w:rsidRPr="008A0CA4" w:rsidRDefault="001D22F3" w:rsidP="001D22F3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1519996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services offerts à l’effectif;</w:t>
      </w:r>
    </w:p>
    <w:p w14:paraId="627E061A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 recrutement, la rapidité des communications, la gestion de la base de données et le maintien de l’effectif;</w:t>
      </w:r>
    </w:p>
    <w:p w14:paraId="17BD01F8" w14:textId="77777777" w:rsidR="001D22F3" w:rsidRPr="008A0CA4" w:rsidRDefault="001D22F3" w:rsidP="001D22F3">
      <w:pPr>
        <w:pStyle w:val="Default"/>
        <w:numPr>
          <w:ilvl w:val="0"/>
          <w:numId w:val="3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6544CC">
        <w:rPr>
          <w:rFonts w:asciiTheme="minorHAnsi" w:hAnsiTheme="minorHAnsi"/>
          <w:bCs/>
          <w:color w:val="auto"/>
          <w:sz w:val="22"/>
          <w:szCs w:val="22"/>
        </w:rPr>
        <w:t>les possibilités de perfectionnement professionnel et de constitution de réseau offertes au personnel, au conseil d’administration, à l’effectif ou aux parties prenantes;</w:t>
      </w:r>
    </w:p>
    <w:p w14:paraId="4901377F" w14:textId="723BED2D" w:rsidR="001D22F3" w:rsidRPr="001D22F3" w:rsidRDefault="001D22F3" w:rsidP="001D22F3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6544CC">
        <w:rPr>
          <w:rFonts w:asciiTheme="minorHAnsi" w:hAnsiTheme="minorHAnsi" w:cstheme="minorHAnsi"/>
          <w:bCs/>
          <w:color w:val="auto"/>
          <w:sz w:val="22"/>
          <w:szCs w:val="22"/>
        </w:rPr>
        <w:t>la participation de l’effectif à l’élaboration des programmes</w:t>
      </w:r>
      <w:r w:rsidRPr="006544CC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0006DCCD" w14:textId="77777777" w:rsidR="001D22F3" w:rsidRPr="008A0CA4" w:rsidRDefault="001D22F3" w:rsidP="001D22F3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598B938D" w14:textId="6C16A33A" w:rsidR="0083611D" w:rsidRDefault="0083611D" w:rsidP="0085004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B80EAF8" w14:textId="77777777" w:rsidR="003709E7" w:rsidRPr="00D0173A" w:rsidRDefault="003709E7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564AC3">
      <w:pPr>
        <w:shd w:val="clear" w:color="auto" w:fill="548DD4" w:themeFill="text2" w:themeFillTint="99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lastRenderedPageBreak/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5753BF33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1D22F3">
        <w:rPr>
          <w:rFonts w:asciiTheme="minorHAnsi" w:hAnsiTheme="minorHAnsi"/>
          <w:bCs/>
          <w:i/>
          <w:iCs/>
          <w:color w:val="FF0000"/>
        </w:rPr>
        <w:t>Service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</w:t>
      </w:r>
      <w:r w:rsidR="00564AC3">
        <w:rPr>
          <w:rFonts w:asciiTheme="minorHAnsi" w:hAnsiTheme="minorHAnsi"/>
          <w:bCs/>
          <w:i/>
          <w:iCs/>
          <w:color w:val="FF0000"/>
        </w:rPr>
        <w:t>B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611EAF2A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171E00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 xml:space="preserve"> 1 </w:t>
      </w:r>
      <w:proofErr w:type="spellStart"/>
      <w:r w:rsidR="00D15A09" w:rsidRPr="00CE2537">
        <w:rPr>
          <w:rFonts w:asciiTheme="minorHAnsi" w:hAnsiTheme="minorHAnsi"/>
          <w:bCs/>
          <w:iCs/>
          <w:color w:val="auto"/>
        </w:rPr>
        <w:t>Conseil_</w:t>
      </w:r>
      <w:bookmarkStart w:id="3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3"/>
      <w:proofErr w:type="spellEnd"/>
    </w:p>
    <w:p w14:paraId="6975C6A1" w14:textId="45260237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69624E" w:rsidRPr="00D0173A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6B6EB883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298AA258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25EEB36F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6280EDEC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1D22F3">
        <w:rPr>
          <w:rFonts w:asciiTheme="minorHAnsi" w:hAnsiTheme="minorHAnsi"/>
          <w:bCs/>
          <w:iCs/>
          <w:color w:val="auto"/>
        </w:rPr>
        <w:t>Service</w:t>
      </w:r>
      <w:r w:rsidR="00D15A09" w:rsidRPr="00CE2537">
        <w:rPr>
          <w:rFonts w:asciiTheme="minorHAnsi" w:hAnsiTheme="minorHAnsi"/>
          <w:bCs/>
          <w:iCs/>
          <w:color w:val="auto"/>
        </w:rPr>
        <w:t>-</w:t>
      </w:r>
      <w:r w:rsidR="00564AC3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2375F8" w:rsidRDefault="00256682" w:rsidP="00564AC3">
      <w:pPr>
        <w:shd w:val="clear" w:color="auto" w:fill="548DD4" w:themeFill="text2" w:themeFillTint="99"/>
        <w:jc w:val="center"/>
        <w:rPr>
          <w:b/>
          <w:bCs/>
          <w:color w:val="FFFFFF" w:themeColor="background1"/>
          <w:sz w:val="28"/>
          <w:szCs w:val="28"/>
        </w:rPr>
      </w:pPr>
      <w:r w:rsidRPr="002375F8">
        <w:rPr>
          <w:b/>
          <w:bCs/>
          <w:color w:val="FFFFFF" w:themeColor="background1"/>
          <w:sz w:val="28"/>
          <w:szCs w:val="28"/>
        </w:rPr>
        <w:t>Un maximum de six addendas sera transmis aux jurés</w:t>
      </w:r>
      <w:r w:rsidR="00CA33D0" w:rsidRPr="002375F8">
        <w:rPr>
          <w:b/>
          <w:bCs/>
          <w:color w:val="FFFFFF" w:themeColor="background1"/>
          <w:sz w:val="28"/>
          <w:szCs w:val="28"/>
        </w:rPr>
        <w:t>.</w:t>
      </w:r>
    </w:p>
    <w:p w14:paraId="0032F800" w14:textId="0A0E1291" w:rsidR="00CA33D0" w:rsidRPr="002375F8" w:rsidRDefault="00CA33D0" w:rsidP="00564AC3">
      <w:pPr>
        <w:shd w:val="clear" w:color="auto" w:fill="548DD4" w:themeFill="text2" w:themeFillTint="99"/>
        <w:jc w:val="center"/>
        <w:rPr>
          <w:color w:val="FFFFFF" w:themeColor="background1"/>
          <w:sz w:val="28"/>
          <w:szCs w:val="28"/>
        </w:rPr>
      </w:pPr>
      <w:r w:rsidRPr="002375F8">
        <w:rPr>
          <w:color w:val="FFFFFF" w:themeColor="background1"/>
          <w:sz w:val="28"/>
          <w:szCs w:val="28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Fournissez une liste des membres du conseil d’administration et précisez leurs rôles et compétences spécialisées 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Nous vous 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00E51964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diffusion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majeurs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7B3E1104" w:rsidR="00CA33D0" w:rsidRPr="00D0173A" w:rsidRDefault="00816604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1 à 6 seront transmis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lastRenderedPageBreak/>
        <w:t>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564AC3">
      <w:pPr>
        <w:pStyle w:val="Default"/>
        <w:shd w:val="clear" w:color="auto" w:fill="548DD4" w:themeFill="text2" w:themeFillTint="99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</w:t>
      </w:r>
      <w:proofErr w:type="spellEnd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de </w:t>
      </w: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vérification</w:t>
      </w:r>
      <w:proofErr w:type="spellEnd"/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0059A2AB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79D7B2B1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0BABAB9E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5BCCCD9A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1D22F3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Service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564AC3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B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Statuts </w:t>
      </w:r>
      <w:proofErr w:type="spellStart"/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proofErr w:type="spellEnd"/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0A7CF14D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1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Conseil_NomOrg</w:t>
      </w:r>
      <w:proofErr w:type="spellEnd"/>
    </w:p>
    <w:p w14:paraId="0316AD68" w14:textId="56A13CB2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2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Programmes_NomOrg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2AA5551F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3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Rapport_NomOrg</w:t>
      </w:r>
      <w:proofErr w:type="spellEnd"/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7B53221B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 4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PlanStrat_NomOrg</w:t>
      </w:r>
      <w:proofErr w:type="spellEnd"/>
    </w:p>
    <w:p w14:paraId="73D3FE12" w14:textId="0A07772F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5 </w:t>
      </w:r>
      <w:proofErr w:type="spellStart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</w:p>
    <w:p w14:paraId="523ACC60" w14:textId="0AA10EC1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1D22F3">
        <w:rPr>
          <w:rFonts w:asciiTheme="minorHAnsi" w:hAnsiTheme="minorHAnsi"/>
          <w:bCs/>
          <w:iCs/>
          <w:color w:val="auto"/>
          <w:sz w:val="22"/>
          <w:szCs w:val="22"/>
        </w:rPr>
        <w:t>Service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564AC3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proofErr w:type="spellStart"/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9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DD75B6">
      <w:headerReference w:type="default" r:id="rId10"/>
      <w:footerReference w:type="first" r:id="rId11"/>
      <w:pgSz w:w="12240" w:h="15840" w:code="1"/>
      <w:pgMar w:top="1443" w:right="720" w:bottom="1008" w:left="720" w:header="720" w:footer="806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26271205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 xml:space="preserve">PROGRAMME DE SOUTIEN DE BASE – CATÉGORIE </w:t>
    </w:r>
    <w:r w:rsidR="0083781C">
      <w:rPr>
        <w:rFonts w:ascii="Arial Narrow" w:hAnsi="Arial Narrow"/>
        <w:b/>
        <w:bCs/>
        <w:sz w:val="18"/>
        <w:szCs w:val="18"/>
      </w:rPr>
      <w:t>B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164B0705" w:rsidR="00D15A09" w:rsidRPr="00D15A09" w:rsidRDefault="001D22F3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>ORANISMES DE SERVICES AUX ARTS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FC2992"/>
    <w:multiLevelType w:val="hybridMultilevel"/>
    <w:tmpl w:val="475E41E8"/>
    <w:lvl w:ilvl="0" w:tplc="B7585A9E">
      <w:start w:val="2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FA56D8"/>
    <w:multiLevelType w:val="hybridMultilevel"/>
    <w:tmpl w:val="B1D02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2"/>
  </w:num>
  <w:num w:numId="5">
    <w:abstractNumId w:val="21"/>
  </w:num>
  <w:num w:numId="6">
    <w:abstractNumId w:val="13"/>
  </w:num>
  <w:num w:numId="7">
    <w:abstractNumId w:val="24"/>
  </w:num>
  <w:num w:numId="8">
    <w:abstractNumId w:val="4"/>
  </w:num>
  <w:num w:numId="9">
    <w:abstractNumId w:val="16"/>
  </w:num>
  <w:num w:numId="10">
    <w:abstractNumId w:val="26"/>
  </w:num>
  <w:num w:numId="11">
    <w:abstractNumId w:val="6"/>
  </w:num>
  <w:num w:numId="12">
    <w:abstractNumId w:val="3"/>
  </w:num>
  <w:num w:numId="13">
    <w:abstractNumId w:val="28"/>
  </w:num>
  <w:num w:numId="14">
    <w:abstractNumId w:val="25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29"/>
  </w:num>
  <w:num w:numId="20">
    <w:abstractNumId w:val="19"/>
  </w:num>
  <w:num w:numId="21">
    <w:abstractNumId w:val="30"/>
  </w:num>
  <w:num w:numId="22">
    <w:abstractNumId w:val="18"/>
  </w:num>
  <w:num w:numId="23">
    <w:abstractNumId w:val="14"/>
  </w:num>
  <w:num w:numId="24">
    <w:abstractNumId w:val="7"/>
  </w:num>
  <w:num w:numId="25">
    <w:abstractNumId w:val="17"/>
  </w:num>
  <w:num w:numId="26">
    <w:abstractNumId w:val="9"/>
  </w:num>
  <w:num w:numId="27">
    <w:abstractNumId w:val="15"/>
  </w:num>
  <w:num w:numId="28">
    <w:abstractNumId w:val="20"/>
  </w:num>
  <w:num w:numId="29">
    <w:abstractNumId w:val="11"/>
  </w:num>
  <w:num w:numId="30">
    <w:abstractNumId w:val="8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609FE"/>
    <w:rsid w:val="000737FC"/>
    <w:rsid w:val="0008409B"/>
    <w:rsid w:val="00091DC4"/>
    <w:rsid w:val="000A6347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71E00"/>
    <w:rsid w:val="00186545"/>
    <w:rsid w:val="00191ACD"/>
    <w:rsid w:val="001B1BAA"/>
    <w:rsid w:val="001B2B38"/>
    <w:rsid w:val="001B717A"/>
    <w:rsid w:val="001C1D49"/>
    <w:rsid w:val="001D22F3"/>
    <w:rsid w:val="00216276"/>
    <w:rsid w:val="002223FC"/>
    <w:rsid w:val="00226822"/>
    <w:rsid w:val="00234BAB"/>
    <w:rsid w:val="0023612D"/>
    <w:rsid w:val="002375F8"/>
    <w:rsid w:val="00252EAB"/>
    <w:rsid w:val="00256682"/>
    <w:rsid w:val="002617E0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533A0"/>
    <w:rsid w:val="003637ED"/>
    <w:rsid w:val="00364D30"/>
    <w:rsid w:val="003709E7"/>
    <w:rsid w:val="00376F52"/>
    <w:rsid w:val="003A184F"/>
    <w:rsid w:val="003A2315"/>
    <w:rsid w:val="003A7E7D"/>
    <w:rsid w:val="003C117F"/>
    <w:rsid w:val="003E1927"/>
    <w:rsid w:val="003F6D62"/>
    <w:rsid w:val="003F757C"/>
    <w:rsid w:val="00401EAB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B7737"/>
    <w:rsid w:val="004C6669"/>
    <w:rsid w:val="004D4FF7"/>
    <w:rsid w:val="004D61EA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4AC3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64D"/>
    <w:rsid w:val="005E54F0"/>
    <w:rsid w:val="005E6583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C1C88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65455"/>
    <w:rsid w:val="00771386"/>
    <w:rsid w:val="00773845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3781C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3870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2527"/>
    <w:rsid w:val="009E0873"/>
    <w:rsid w:val="009E3833"/>
    <w:rsid w:val="009E59D3"/>
    <w:rsid w:val="009E64C9"/>
    <w:rsid w:val="009F226C"/>
    <w:rsid w:val="009F50E2"/>
    <w:rsid w:val="009F52BA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C5ABC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C1123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D75B6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B07D5"/>
    <w:rsid w:val="00EB5E26"/>
    <w:rsid w:val="00EC0D4A"/>
    <w:rsid w:val="00EC752B"/>
    <w:rsid w:val="00EC79EE"/>
    <w:rsid w:val="00ED7C2B"/>
    <w:rsid w:val="00EE50E9"/>
    <w:rsid w:val="00EF2AD8"/>
    <w:rsid w:val="00F21997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1C8C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7259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8</cp:revision>
  <cp:lastPrinted>2017-03-06T19:42:00Z</cp:lastPrinted>
  <dcterms:created xsi:type="dcterms:W3CDTF">2021-11-19T15:44:00Z</dcterms:created>
  <dcterms:modified xsi:type="dcterms:W3CDTF">2021-12-21T19:33:00Z</dcterms:modified>
</cp:coreProperties>
</file>